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0658" w14:textId="53D7521F" w:rsidR="00D227D1" w:rsidRPr="00A840C2" w:rsidRDefault="00D227D1" w:rsidP="00D227D1">
      <w:pPr>
        <w:rPr>
          <w:rFonts w:ascii="Calibri" w:hAnsi="Calibri" w:cs="Calibri"/>
          <w:sz w:val="20"/>
          <w:szCs w:val="20"/>
        </w:rPr>
      </w:pPr>
      <w:r w:rsidRPr="00A840C2">
        <w:rPr>
          <w:rFonts w:ascii="Calibri" w:hAnsi="Calibri" w:cs="Calibri"/>
          <w:b/>
          <w:sz w:val="20"/>
          <w:szCs w:val="20"/>
        </w:rPr>
        <w:t xml:space="preserve">APPENDIX </w:t>
      </w:r>
      <w:r w:rsidR="00496220">
        <w:rPr>
          <w:rFonts w:ascii="Calibri" w:hAnsi="Calibri" w:cs="Calibri"/>
          <w:b/>
          <w:sz w:val="20"/>
          <w:szCs w:val="20"/>
        </w:rPr>
        <w:t>E</w:t>
      </w:r>
      <w:bookmarkStart w:id="0" w:name="_GoBack"/>
      <w:bookmarkEnd w:id="0"/>
      <w:r w:rsidRPr="00A840C2">
        <w:rPr>
          <w:rFonts w:ascii="Calibri" w:hAnsi="Calibri" w:cs="Calibri"/>
          <w:b/>
          <w:sz w:val="20"/>
          <w:szCs w:val="20"/>
        </w:rPr>
        <w:t>:</w:t>
      </w:r>
      <w:r w:rsidRPr="00A840C2">
        <w:rPr>
          <w:rFonts w:ascii="Calibri" w:hAnsi="Calibri" w:cs="Calibri"/>
          <w:sz w:val="20"/>
          <w:szCs w:val="20"/>
        </w:rPr>
        <w:t xml:space="preserve"> Core Definitions of the Toolkit</w:t>
      </w:r>
    </w:p>
    <w:p w14:paraId="7ACC4764" w14:textId="421D4215" w:rsidR="00D227D1" w:rsidRPr="00A840C2" w:rsidRDefault="00D227D1" w:rsidP="00D227D1">
      <w:pPr>
        <w:pStyle w:val="ListParagraph"/>
        <w:numPr>
          <w:ilvl w:val="0"/>
          <w:numId w:val="1"/>
        </w:numPr>
        <w:rPr>
          <w:rFonts w:ascii="Calibri" w:eastAsia="Times New Roman" w:hAnsi="Calibri" w:cs="Calibri"/>
          <w:sz w:val="20"/>
          <w:szCs w:val="20"/>
        </w:rPr>
      </w:pPr>
      <w:r w:rsidRPr="00A840C2">
        <w:rPr>
          <w:rFonts w:ascii="Calibri" w:eastAsia="Times New Roman" w:hAnsi="Calibri" w:cs="Calibri"/>
          <w:b/>
          <w:color w:val="212121"/>
          <w:sz w:val="20"/>
          <w:szCs w:val="20"/>
        </w:rPr>
        <w:t>Unconscious bias</w:t>
      </w:r>
      <w:r w:rsidRPr="00A840C2">
        <w:rPr>
          <w:rFonts w:ascii="Calibri" w:eastAsia="Times New Roman" w:hAnsi="Calibri" w:cs="Calibri"/>
          <w:color w:val="212121"/>
          <w:sz w:val="20"/>
          <w:szCs w:val="20"/>
        </w:rPr>
        <w:t>) refers to the beliefs and prejudices we hold that reside outside of our awareness. Microaggressions are often the output of unconscious bias.</w:t>
      </w:r>
    </w:p>
    <w:p w14:paraId="09DBB6FA" w14:textId="777CFC3D" w:rsidR="00D227D1" w:rsidRPr="00A840C2" w:rsidRDefault="40FBD1F5" w:rsidP="40FBD1F5">
      <w:pPr>
        <w:pStyle w:val="ListParagraph"/>
        <w:numPr>
          <w:ilvl w:val="0"/>
          <w:numId w:val="1"/>
        </w:numPr>
        <w:ind w:left="789" w:hanging="339"/>
        <w:rPr>
          <w:rFonts w:ascii="Calibri" w:eastAsia="Times New Roman" w:hAnsi="Calibri" w:cs="Calibri"/>
          <w:sz w:val="20"/>
          <w:szCs w:val="20"/>
        </w:rPr>
      </w:pPr>
      <w:r w:rsidRPr="40FBD1F5">
        <w:rPr>
          <w:rFonts w:ascii="Calibri" w:eastAsia="Times New Roman" w:hAnsi="Calibri" w:cs="Calibri"/>
          <w:b/>
          <w:bCs/>
          <w:color w:val="212121"/>
          <w:sz w:val="20"/>
          <w:szCs w:val="20"/>
        </w:rPr>
        <w:t xml:space="preserve">Microaggressions </w:t>
      </w:r>
      <w:r w:rsidRPr="40FBD1F5">
        <w:rPr>
          <w:rFonts w:ascii="Calibri" w:eastAsia="Times New Roman" w:hAnsi="Calibri" w:cs="Calibri"/>
          <w:color w:val="212121"/>
          <w:sz w:val="20"/>
          <w:szCs w:val="20"/>
        </w:rPr>
        <w:t>are statements, behaviors, and environmental indignities, whether intentional or unintentional, that communicate negative or denigrating racial, gender, sexual-orientation, and religious slights and insults to the target person or groups.</w:t>
      </w:r>
      <w:r w:rsidR="00D227D1" w:rsidRPr="40FBD1F5">
        <w:rPr>
          <w:rFonts w:ascii="Calibri" w:eastAsia="Times New Roman" w:hAnsi="Calibri" w:cs="Calibri"/>
          <w:color w:val="212121"/>
          <w:sz w:val="20"/>
          <w:szCs w:val="20"/>
        </w:rPr>
        <w:fldChar w:fldCharType="begin"/>
      </w:r>
      <w:r w:rsidR="00D227D1" w:rsidRPr="40FBD1F5">
        <w:rPr>
          <w:rFonts w:ascii="Calibri" w:eastAsia="Times New Roman" w:hAnsi="Calibri" w:cs="Calibri"/>
          <w:color w:val="212121"/>
          <w:sz w:val="20"/>
          <w:szCs w:val="20"/>
        </w:rPr>
        <w:instrText xml:space="preserve"> ADDIN EN.CITE &lt;EndNote&gt;&lt;Cite&gt;&lt;Author&gt;Sue&lt;/Author&gt;&lt;Year&gt;2010&lt;/Year&gt;&lt;RecNum&gt;575&lt;/RecNum&gt;&lt;DisplayText&gt;&lt;style face="superscript"&gt;1,2&lt;/style&gt;&lt;/DisplayText&gt;&lt;record&gt;&lt;rec-number&gt;575&lt;/rec-number&gt;&lt;foreign-keys&gt;&lt;key app="EN" db-id="efx20f095edz2mev2dk5ssrxatx9ds2ptdt0" timestamp="1570637383" guid="7a5c9ff1-a1af-4ed8-8c15-5ef2fae87d60"&gt;575&lt;/key&gt;&lt;/foreign-keys&gt;&lt;ref-type name="Book"&gt;6&lt;/ref-type&gt;&lt;contributors&gt;&lt;authors&gt;&lt;author&gt;Derald Wing Sue&lt;/author&gt;&lt;/authors&gt;&lt;/contributors&gt;&lt;titles&gt;&lt;title&gt;Microaggressions in everyday life: Race, gender, and sexual orientation&lt;/title&gt;&lt;/titles&gt;&lt;dates&gt;&lt;year&gt;2010&lt;/year&gt;&lt;/dates&gt;&lt;publisher&gt;John Wiley &amp;amp; Sons&lt;/publisher&gt;&lt;urls&gt;&lt;/urls&gt;&lt;/record&gt;&lt;/Cite&gt;&lt;Cite&gt;&lt;Author&gt;Nadal&lt;/Author&gt;&lt;Year&gt;2011&lt;/Year&gt;&lt;RecNum&gt;574&lt;/RecNum&gt;&lt;record&gt;&lt;rec-number&gt;574&lt;/rec-number&gt;&lt;foreign-keys&gt;&lt;key app="EN" db-id="efx20f095edz2mev2dk5ssrxatx9ds2ptdt0" timestamp="1570637382" guid="bf6f7129-e82f-4939-90e4-f32dcea53d6f"&gt;574&lt;/key&gt;&lt;/foreign-keys&gt;&lt;ref-type name="Journal Article"&gt;17&lt;/ref-type&gt;&lt;contributors&gt;&lt;authors&gt;&lt;author&gt;Kevin L. Nadal&lt;/author&gt;&lt;/authors&gt;&lt;/contributors&gt;&lt;titles&gt;&lt;title&gt;The Racial and Ethnic Microaggressions Scale (REMS): Construction, Reliability, and Validity&lt;/title&gt;&lt;secondary-title&gt;Journal of Counseling Psychology&lt;/secondary-title&gt;&lt;/titles&gt;&lt;periodical&gt;&lt;full-title&gt;Journal of Counseling Psychology&lt;/full-title&gt;&lt;/periodical&gt;&lt;pages&gt;470-480&lt;/pages&gt;&lt;volume&gt;58&lt;/volume&gt;&lt;number&gt;4&lt;/number&gt;&lt;dates&gt;&lt;year&gt;2011&lt;/year&gt;&lt;/dates&gt;&lt;urls&gt;&lt;/urls&gt;&lt;/record&gt;&lt;/Cite&gt;&lt;/EndNote&gt;</w:instrText>
      </w:r>
      <w:r w:rsidR="00D227D1" w:rsidRPr="40FBD1F5">
        <w:rPr>
          <w:rFonts w:ascii="Calibri" w:eastAsia="Times New Roman" w:hAnsi="Calibri" w:cs="Calibri"/>
          <w:color w:val="212121"/>
          <w:sz w:val="20"/>
          <w:szCs w:val="20"/>
        </w:rPr>
        <w:fldChar w:fldCharType="separate"/>
      </w:r>
      <w:r w:rsidRPr="40FBD1F5">
        <w:rPr>
          <w:rFonts w:ascii="Calibri" w:eastAsia="Times New Roman" w:hAnsi="Calibri" w:cs="Calibri"/>
          <w:noProof/>
          <w:color w:val="212121"/>
          <w:sz w:val="20"/>
          <w:szCs w:val="20"/>
          <w:vertAlign w:val="superscript"/>
        </w:rPr>
        <w:t>1,2</w:t>
      </w:r>
      <w:r w:rsidR="00D227D1" w:rsidRPr="40FBD1F5">
        <w:rPr>
          <w:rFonts w:ascii="Calibri" w:eastAsia="Times New Roman" w:hAnsi="Calibri" w:cs="Calibri"/>
          <w:color w:val="212121"/>
          <w:sz w:val="20"/>
          <w:szCs w:val="20"/>
        </w:rPr>
        <w:fldChar w:fldCharType="end"/>
      </w:r>
      <w:r w:rsidRPr="40FBD1F5">
        <w:rPr>
          <w:rFonts w:ascii="Calibri" w:eastAsia="Times New Roman" w:hAnsi="Calibri" w:cs="Calibri"/>
          <w:color w:val="212121"/>
          <w:sz w:val="20"/>
          <w:szCs w:val="20"/>
        </w:rPr>
        <w:t xml:space="preserve"> This is not an exhaustive list, as microaggressions may relate to </w:t>
      </w:r>
      <w:r w:rsidR="008C5B1B">
        <w:rPr>
          <w:rFonts w:ascii="Calibri" w:eastAsia="Times New Roman" w:hAnsi="Calibri" w:cs="Calibri"/>
          <w:color w:val="212121"/>
          <w:sz w:val="20"/>
          <w:szCs w:val="20"/>
        </w:rPr>
        <w:t>m</w:t>
      </w:r>
      <w:r w:rsidRPr="40FBD1F5">
        <w:rPr>
          <w:rFonts w:ascii="Calibri" w:eastAsia="Times New Roman" w:hAnsi="Calibri" w:cs="Calibri"/>
          <w:color w:val="212121"/>
          <w:sz w:val="20"/>
          <w:szCs w:val="20"/>
        </w:rPr>
        <w:t>any</w:t>
      </w:r>
      <w:r w:rsidR="008C5B1B">
        <w:rPr>
          <w:rFonts w:ascii="Calibri" w:eastAsia="Times New Roman" w:hAnsi="Calibri" w:cs="Calibri"/>
          <w:color w:val="212121"/>
          <w:sz w:val="20"/>
          <w:szCs w:val="20"/>
        </w:rPr>
        <w:t xml:space="preserve"> </w:t>
      </w:r>
      <w:r w:rsidRPr="40FBD1F5">
        <w:rPr>
          <w:rFonts w:ascii="Calibri" w:eastAsia="Times New Roman" w:hAnsi="Calibri" w:cs="Calibri"/>
          <w:color w:val="212121"/>
          <w:sz w:val="20"/>
          <w:szCs w:val="20"/>
        </w:rPr>
        <w:t xml:space="preserve"> </w:t>
      </w:r>
      <w:r w:rsidR="008C5B1B">
        <w:rPr>
          <w:rFonts w:ascii="Calibri" w:eastAsia="Times New Roman" w:hAnsi="Calibri" w:cs="Calibri"/>
          <w:color w:val="212121"/>
          <w:sz w:val="20"/>
          <w:szCs w:val="20"/>
        </w:rPr>
        <w:t>aspects of an individual’s identity.</w:t>
      </w:r>
    </w:p>
    <w:p w14:paraId="4D073ACF" w14:textId="602E07C4" w:rsidR="00D227D1" w:rsidRPr="00A840C2" w:rsidRDefault="52E3F0CC" w:rsidP="00D227D1">
      <w:pPr>
        <w:pStyle w:val="ListParagraph"/>
        <w:numPr>
          <w:ilvl w:val="0"/>
          <w:numId w:val="1"/>
        </w:numPr>
        <w:ind w:left="789" w:hanging="339"/>
        <w:rPr>
          <w:rFonts w:ascii="Calibri" w:eastAsia="Times New Roman" w:hAnsi="Calibri" w:cs="Calibri"/>
          <w:sz w:val="20"/>
          <w:szCs w:val="20"/>
        </w:rPr>
      </w:pPr>
      <w:r w:rsidRPr="52E3F0CC">
        <w:rPr>
          <w:rFonts w:ascii="Calibri" w:eastAsia="Times New Roman" w:hAnsi="Calibri" w:cs="Calibri"/>
          <w:color w:val="212121"/>
          <w:sz w:val="20"/>
          <w:szCs w:val="20"/>
        </w:rPr>
        <w:t>The term</w:t>
      </w:r>
      <w:r w:rsidRPr="52E3F0CC">
        <w:rPr>
          <w:rFonts w:ascii="Calibri" w:eastAsia="Times New Roman" w:hAnsi="Calibri" w:cs="Calibri"/>
          <w:b/>
          <w:bCs/>
          <w:color w:val="212121"/>
          <w:sz w:val="20"/>
          <w:szCs w:val="20"/>
        </w:rPr>
        <w:t xml:space="preserve"> Macroaggression, </w:t>
      </w:r>
      <w:r w:rsidRPr="52E3F0CC">
        <w:rPr>
          <w:rFonts w:ascii="Calibri" w:eastAsia="Times New Roman" w:hAnsi="Calibri" w:cs="Calibri"/>
          <w:color w:val="212121"/>
          <w:sz w:val="20"/>
          <w:szCs w:val="20"/>
        </w:rPr>
        <w:t>according to Sue, et. al. is generally reserved to describe systemic and institutional forms of racism, sexism or homophobia that can be seen in the policy and practices of institutions like health care, judicial, education, and business and industry.</w:t>
      </w:r>
      <w:r w:rsidR="00D227D1" w:rsidRPr="52E3F0CC">
        <w:rPr>
          <w:rFonts w:ascii="Calibri" w:eastAsia="Times New Roman" w:hAnsi="Calibri" w:cs="Calibri"/>
          <w:color w:val="212121"/>
          <w:sz w:val="20"/>
          <w:szCs w:val="20"/>
        </w:rPr>
        <w:fldChar w:fldCharType="begin"/>
      </w:r>
      <w:r w:rsidR="00D227D1" w:rsidRPr="52E3F0CC">
        <w:rPr>
          <w:rFonts w:ascii="Calibri" w:eastAsia="Times New Roman" w:hAnsi="Calibri" w:cs="Calibri"/>
          <w:color w:val="212121"/>
          <w:sz w:val="20"/>
          <w:szCs w:val="20"/>
        </w:rPr>
        <w:instrText xml:space="preserve"> ADDIN EN.CITE &lt;EndNote&gt;&lt;Cite&gt;&lt;Author&gt;Derald Wing Sue&lt;/Author&gt;&lt;Year&gt;2019&lt;/Year&gt;&lt;RecNum&gt;41&lt;/RecNum&gt;&lt;DisplayText&gt;&lt;style face="superscript"&gt;3&lt;/style&gt;&lt;/DisplayText&gt;&lt;record&gt;&lt;rec-number&gt;41&lt;/rec-number&gt;&lt;foreign-keys&gt;&lt;key app="EN" db-id="efx20f095edz2mev2dk5ssrxatx9ds2ptdt0" timestamp="1570636046" guid="a388c3a8-7170-4e02-90ae-d8fa4ec7837d"&gt;41&lt;/key&gt;&lt;/foreign-keys&gt;&lt;ref-type name="Journal Article"&gt;17&lt;/ref-type&gt;&lt;contributors&gt;&lt;authors&gt;&lt;author&gt;Derald Wing Sue, Sarah Alsaidi, Michael N. Awad, Elizabeth Glaeser, Cassandra Z. Calle and Narolyn Mendez&lt;/author&gt;&lt;/authors&gt;&lt;/contributors&gt;&lt;titles&gt;&lt;title&gt;Disarming Racial Microaggressions: Microintervention Strategies for Targets, White Allies, and Bystanders&lt;/title&gt;&lt;secondary-title&gt;American Psychologist&lt;/secondary-title&gt;&lt;/titles&gt;&lt;periodical&gt;&lt;full-title&gt;American Psychologist&lt;/full-title&gt;&lt;/periodical&gt;&lt;pages&gt;128-142&lt;/pages&gt;&lt;volume&gt;74&lt;/volume&gt;&lt;number&gt;1&lt;/number&gt;&lt;keywords&gt;&lt;keyword&gt;microinterventions, microagressions, macroagressions, metacommunication,race&lt;/keyword&gt;&lt;/keywords&gt;&lt;dates&gt;&lt;year&gt;2019&lt;/year&gt;&lt;/dates&gt;&lt;urls&gt;&lt;/urls&gt;&lt;research-notes&gt;This article builds a new strategic framework that is meant to address microagressions in a manner that creates active dialogue and action steps for targets, allies and bystanders. The framework identifies a comprehensive set of potential responses to racist acts and four major strategic goals of these microinterventions.&lt;/research-notes&gt;&lt;/record&gt;&lt;/Cite&gt;&lt;/EndNote&gt;</w:instrText>
      </w:r>
      <w:r w:rsidR="00D227D1" w:rsidRPr="52E3F0CC">
        <w:rPr>
          <w:rFonts w:ascii="Calibri" w:eastAsia="Times New Roman" w:hAnsi="Calibri" w:cs="Calibri"/>
          <w:color w:val="212121"/>
          <w:sz w:val="20"/>
          <w:szCs w:val="20"/>
        </w:rPr>
        <w:fldChar w:fldCharType="separate"/>
      </w:r>
      <w:r w:rsidRPr="52E3F0CC">
        <w:rPr>
          <w:rFonts w:ascii="Calibri" w:eastAsia="Times New Roman" w:hAnsi="Calibri" w:cs="Calibri"/>
          <w:noProof/>
          <w:color w:val="212121"/>
          <w:sz w:val="20"/>
          <w:szCs w:val="20"/>
          <w:vertAlign w:val="superscript"/>
        </w:rPr>
        <w:t>3</w:t>
      </w:r>
      <w:r w:rsidR="00D227D1" w:rsidRPr="52E3F0CC">
        <w:rPr>
          <w:rFonts w:ascii="Calibri" w:eastAsia="Times New Roman" w:hAnsi="Calibri" w:cs="Calibri"/>
          <w:color w:val="212121"/>
          <w:sz w:val="20"/>
          <w:szCs w:val="20"/>
        </w:rPr>
        <w:fldChar w:fldCharType="end"/>
      </w:r>
    </w:p>
    <w:p w14:paraId="2967F490" w14:textId="5AA6347E" w:rsidR="00D227D1" w:rsidRPr="00A840C2" w:rsidRDefault="00D227D1" w:rsidP="00D227D1">
      <w:pPr>
        <w:pStyle w:val="ListParagraph"/>
        <w:numPr>
          <w:ilvl w:val="0"/>
          <w:numId w:val="1"/>
        </w:numPr>
        <w:ind w:left="789" w:hanging="339"/>
        <w:rPr>
          <w:rFonts w:ascii="Calibri" w:hAnsi="Calibri" w:cs="Calibri"/>
          <w:color w:val="212121"/>
          <w:sz w:val="20"/>
          <w:szCs w:val="20"/>
        </w:rPr>
      </w:pPr>
      <w:r w:rsidRPr="00A840C2">
        <w:rPr>
          <w:rFonts w:ascii="Calibri" w:eastAsia="Times New Roman" w:hAnsi="Calibri" w:cs="Calibri"/>
          <w:b/>
          <w:color w:val="212121"/>
          <w:sz w:val="20"/>
          <w:szCs w:val="20"/>
        </w:rPr>
        <w:t xml:space="preserve">Inclusion </w:t>
      </w:r>
      <w:r w:rsidRPr="00A840C2">
        <w:rPr>
          <w:rFonts w:ascii="Calibri" w:eastAsia="Times New Roman" w:hAnsi="Calibri" w:cs="Calibri"/>
          <w:color w:val="212121"/>
          <w:sz w:val="20"/>
          <w:szCs w:val="20"/>
        </w:rPr>
        <w:t>is the process by which individuals view themselves as active members of a larger community; where their background, insights and contributions are valued as part of the creativity and productivity of the group. Inclusion, then, becomes the binding force for diversity.</w:t>
      </w:r>
      <w:r w:rsidR="00287C33" w:rsidRPr="00A840C2">
        <w:rPr>
          <w:rFonts w:ascii="Calibri" w:eastAsia="Times New Roman" w:hAnsi="Calibri" w:cs="Calibri"/>
          <w:color w:val="212121"/>
          <w:sz w:val="20"/>
          <w:szCs w:val="20"/>
        </w:rPr>
        <w:fldChar w:fldCharType="begin"/>
      </w:r>
      <w:r w:rsidR="00287C33" w:rsidRPr="00A840C2">
        <w:rPr>
          <w:rFonts w:ascii="Calibri" w:eastAsia="Times New Roman" w:hAnsi="Calibri" w:cs="Calibri"/>
          <w:color w:val="212121"/>
          <w:sz w:val="20"/>
          <w:szCs w:val="20"/>
        </w:rPr>
        <w:instrText xml:space="preserve"> ADDIN EN.CITE &lt;EndNote&gt;&lt;Cite&gt;&lt;Author&gt;Ackerman-Barger&lt;/Author&gt;&lt;Year&gt;2016&lt;/Year&gt;&lt;RecNum&gt;884&lt;/RecNum&gt;&lt;DisplayText&gt;&lt;style face="superscript"&gt;4&lt;/style&gt;&lt;/DisplayText&gt;&lt;record&gt;&lt;rec-number&gt;884&lt;/rec-number&gt;&lt;foreign-keys&gt;&lt;key app="EN" db-id="efx20f095edz2mev2dk5ssrxatx9ds2ptdt0" timestamp="1583192641" guid="79b43fb1-4000-418d-b3a3-8ddf94382bab"&gt;884&lt;/key&gt;&lt;/foreign-keys&gt;&lt;ref-type name="Journal Article"&gt;17&lt;/ref-type&gt;&lt;contributors&gt;&lt;authors&gt;&lt;author&gt;Kupiri Ackerman-Barger&lt;/author&gt;&lt;author&gt;Claire Valderma-Wallace&lt;/author&gt;&lt;author&gt;Darin Latimore&lt;/author&gt;&lt;author&gt;Christina Drake &lt;/author&gt;&lt;/authors&gt;&lt;/contributors&gt;&lt;titles&gt;&lt;title&gt;Stereotype Threat Susceptibility Among Minority Health Professions Students&lt;/title&gt;&lt;secondary-title&gt;Journal of Best Practices in Health Professions Diversity&lt;/secondary-title&gt;&lt;/titles&gt;&lt;periodical&gt;&lt;full-title&gt;Journal of Best Practices in Health Professions Diversity&lt;/full-title&gt;&lt;/periodical&gt;&lt;pages&gt;1232-1246&lt;/pages&gt;&lt;volume&gt;9&lt;/volume&gt;&lt;number&gt;2&lt;/number&gt;&lt;dates&gt;&lt;year&gt;2016&lt;/year&gt;&lt;/dates&gt;&lt;urls&gt;&lt;/urls&gt;&lt;/record&gt;&lt;/Cite&gt;&lt;/EndNote&gt;</w:instrText>
      </w:r>
      <w:r w:rsidR="00287C33" w:rsidRPr="00A840C2">
        <w:rPr>
          <w:rFonts w:ascii="Calibri" w:eastAsia="Times New Roman" w:hAnsi="Calibri" w:cs="Calibri"/>
          <w:color w:val="212121"/>
          <w:sz w:val="20"/>
          <w:szCs w:val="20"/>
        </w:rPr>
        <w:fldChar w:fldCharType="separate"/>
      </w:r>
      <w:r w:rsidR="00287C33" w:rsidRPr="00A840C2">
        <w:rPr>
          <w:rFonts w:ascii="Calibri" w:eastAsia="Times New Roman" w:hAnsi="Calibri" w:cs="Calibri"/>
          <w:noProof/>
          <w:color w:val="212121"/>
          <w:sz w:val="20"/>
          <w:szCs w:val="20"/>
          <w:vertAlign w:val="superscript"/>
        </w:rPr>
        <w:t>4</w:t>
      </w:r>
      <w:r w:rsidR="00287C33" w:rsidRPr="00A840C2">
        <w:rPr>
          <w:rFonts w:ascii="Calibri" w:eastAsia="Times New Roman" w:hAnsi="Calibri" w:cs="Calibri"/>
          <w:color w:val="212121"/>
          <w:sz w:val="20"/>
          <w:szCs w:val="20"/>
        </w:rPr>
        <w:fldChar w:fldCharType="end"/>
      </w:r>
      <w:r w:rsidRPr="00A840C2">
        <w:rPr>
          <w:rFonts w:ascii="Calibri" w:eastAsia="Times New Roman" w:hAnsi="Calibri" w:cs="Calibri"/>
          <w:color w:val="212121"/>
          <w:sz w:val="20"/>
          <w:szCs w:val="20"/>
        </w:rPr>
        <w:t xml:space="preserve"> </w:t>
      </w:r>
    </w:p>
    <w:p w14:paraId="141DF83B" w14:textId="49631AA9" w:rsidR="00D227D1" w:rsidRPr="00A840C2" w:rsidRDefault="52E3F0CC" w:rsidP="00D227D1">
      <w:pPr>
        <w:pStyle w:val="ListParagraph"/>
        <w:numPr>
          <w:ilvl w:val="0"/>
          <w:numId w:val="1"/>
        </w:numPr>
        <w:rPr>
          <w:rFonts w:ascii="Calibri" w:hAnsi="Calibri" w:cs="Calibri"/>
          <w:b/>
          <w:bCs/>
          <w:color w:val="212121"/>
          <w:sz w:val="20"/>
          <w:szCs w:val="20"/>
        </w:rPr>
      </w:pPr>
      <w:r w:rsidRPr="52E3F0CC">
        <w:rPr>
          <w:rFonts w:ascii="Calibri" w:eastAsia="Times New Roman" w:hAnsi="Calibri" w:cs="Calibri"/>
          <w:b/>
          <w:bCs/>
          <w:color w:val="212121"/>
          <w:sz w:val="20"/>
          <w:szCs w:val="20"/>
        </w:rPr>
        <w:t xml:space="preserve">Intersectionality </w:t>
      </w:r>
      <w:r w:rsidRPr="52E3F0CC">
        <w:rPr>
          <w:rFonts w:ascii="Calibri" w:eastAsia="Times New Roman" w:hAnsi="Calibri" w:cs="Calibri"/>
          <w:color w:val="212121"/>
          <w:sz w:val="20"/>
          <w:szCs w:val="20"/>
        </w:rPr>
        <w:t>is a term coined by</w:t>
      </w:r>
      <w:r w:rsidRPr="52E3F0CC">
        <w:rPr>
          <w:rFonts w:ascii="Calibri" w:eastAsia="Times New Roman" w:hAnsi="Calibri" w:cs="Calibri"/>
          <w:b/>
          <w:bCs/>
          <w:color w:val="212121"/>
          <w:sz w:val="20"/>
          <w:szCs w:val="20"/>
        </w:rPr>
        <w:t xml:space="preserve"> </w:t>
      </w:r>
      <w:proofErr w:type="spellStart"/>
      <w:r w:rsidRPr="52E3F0CC">
        <w:rPr>
          <w:rFonts w:ascii="Calibri" w:eastAsia="Times New Roman" w:hAnsi="Calibri" w:cs="Calibri"/>
          <w:color w:val="212121"/>
          <w:sz w:val="20"/>
          <w:szCs w:val="20"/>
        </w:rPr>
        <w:t>Kimberle</w:t>
      </w:r>
      <w:proofErr w:type="spellEnd"/>
      <w:r w:rsidRPr="52E3F0CC">
        <w:rPr>
          <w:rFonts w:ascii="Calibri" w:eastAsia="Times New Roman" w:hAnsi="Calibri" w:cs="Calibri"/>
          <w:color w:val="212121"/>
          <w:sz w:val="20"/>
          <w:szCs w:val="20"/>
        </w:rPr>
        <w:t xml:space="preserve"> Crenshaw </w:t>
      </w:r>
      <w:r w:rsidRPr="52E3F0CC">
        <w:rPr>
          <w:rFonts w:ascii="Calibri" w:hAnsi="Calibri" w:cs="Calibri"/>
          <w:sz w:val="20"/>
          <w:szCs w:val="20"/>
        </w:rPr>
        <w:t>to provide a framework to explore how identity and the overlapping and interdependent forms of social stratification (such as race and gender) shape the experiences of women of color. It is since been used to understand the multiple ways that identities intersect to create very unique social experiences.</w:t>
      </w:r>
      <w:r w:rsidR="00D227D1" w:rsidRPr="52E3F0CC">
        <w:rPr>
          <w:rFonts w:ascii="Calibri" w:hAnsi="Calibri" w:cs="Calibri"/>
          <w:sz w:val="20"/>
          <w:szCs w:val="20"/>
        </w:rPr>
        <w:fldChar w:fldCharType="begin"/>
      </w:r>
      <w:r w:rsidR="00D227D1" w:rsidRPr="52E3F0CC">
        <w:rPr>
          <w:rFonts w:ascii="Calibri" w:hAnsi="Calibri" w:cs="Calibri"/>
          <w:sz w:val="20"/>
          <w:szCs w:val="20"/>
        </w:rPr>
        <w:instrText xml:space="preserve"> ADDIN EN.CITE &lt;EndNote&gt;&lt;Cite&gt;&lt;Author&gt;Crenshaw&lt;/Author&gt;&lt;Year&gt;1989&lt;/Year&gt;&lt;RecNum&gt;1015&lt;/RecNum&gt;&lt;DisplayText&gt;&lt;style face="superscript"&gt;5&lt;/style&gt;&lt;/DisplayText&gt;&lt;record&gt;&lt;rec-number&gt;1015&lt;/rec-number&gt;&lt;foreign-keys&gt;&lt;key app="EN" db-id="efx20f095edz2mev2dk5ssrxatx9ds2ptdt0" timestamp="1590074985" guid="4136a883-5bed-4d3b-92f0-6f59603186d9"&gt;1015&lt;/key&gt;&lt;/foreign-keys&gt;&lt;ref-type name="Journal Article"&gt;17&lt;/ref-type&gt;&lt;contributors&gt;&lt;authors&gt;&lt;author&gt;Kimberle Crenshaw&lt;/author&gt;&lt;/authors&gt;&lt;/contributors&gt;&lt;titles&gt;&lt;title&gt;Demarginalizing the Intersection of Race and Sex: A Black Feminist Critique of Antidiscrimination Doctrine, Feminist Theory and Antiracist Politics &lt;/title&gt;&lt;secondary-title&gt;University of Chicago Legal Forum &lt;/secondary-title&gt;&lt;/titles&gt;&lt;dates&gt;&lt;year&gt;1989&lt;/year&gt;&lt;/dates&gt;&lt;urls&gt;&lt;/urls&gt;&lt;/record&gt;&lt;/Cite&gt;&lt;/EndNote&gt;</w:instrText>
      </w:r>
      <w:r w:rsidR="00D227D1" w:rsidRPr="52E3F0CC">
        <w:rPr>
          <w:rFonts w:ascii="Calibri" w:hAnsi="Calibri" w:cs="Calibri"/>
          <w:sz w:val="20"/>
          <w:szCs w:val="20"/>
        </w:rPr>
        <w:fldChar w:fldCharType="separate"/>
      </w:r>
      <w:r w:rsidRPr="52E3F0CC">
        <w:rPr>
          <w:rFonts w:ascii="Calibri" w:hAnsi="Calibri" w:cs="Calibri"/>
          <w:noProof/>
          <w:sz w:val="20"/>
          <w:szCs w:val="20"/>
          <w:vertAlign w:val="superscript"/>
        </w:rPr>
        <w:t>5</w:t>
      </w:r>
      <w:r w:rsidR="00D227D1" w:rsidRPr="52E3F0CC">
        <w:rPr>
          <w:rFonts w:ascii="Calibri" w:hAnsi="Calibri" w:cs="Calibri"/>
          <w:sz w:val="20"/>
          <w:szCs w:val="20"/>
        </w:rPr>
        <w:fldChar w:fldCharType="end"/>
      </w:r>
    </w:p>
    <w:p w14:paraId="1824672E" w14:textId="77777777" w:rsidR="00287C33" w:rsidRPr="00A840C2" w:rsidRDefault="00287C33">
      <w:pPr>
        <w:rPr>
          <w:rFonts w:ascii="Calibri" w:hAnsi="Calibri" w:cs="Calibri"/>
          <w:sz w:val="20"/>
          <w:szCs w:val="20"/>
        </w:rPr>
      </w:pPr>
    </w:p>
    <w:p w14:paraId="07119DBC" w14:textId="77777777" w:rsidR="00287C33" w:rsidRPr="00A840C2" w:rsidRDefault="00287C33">
      <w:pPr>
        <w:rPr>
          <w:rFonts w:ascii="Calibri" w:hAnsi="Calibri" w:cs="Calibri"/>
          <w:sz w:val="20"/>
          <w:szCs w:val="20"/>
        </w:rPr>
      </w:pPr>
    </w:p>
    <w:p w14:paraId="6F0AD882" w14:textId="77777777" w:rsidR="00287C33" w:rsidRPr="00A840C2" w:rsidRDefault="00287C33" w:rsidP="00287C33">
      <w:pPr>
        <w:pStyle w:val="EndNoteBibliography"/>
        <w:spacing w:after="0"/>
        <w:ind w:left="720" w:hanging="720"/>
        <w:rPr>
          <w:noProof/>
          <w:sz w:val="20"/>
          <w:szCs w:val="20"/>
        </w:rPr>
      </w:pPr>
      <w:r w:rsidRPr="00A840C2">
        <w:rPr>
          <w:sz w:val="20"/>
          <w:szCs w:val="20"/>
        </w:rPr>
        <w:fldChar w:fldCharType="begin"/>
      </w:r>
      <w:r w:rsidRPr="00A840C2">
        <w:rPr>
          <w:sz w:val="20"/>
          <w:szCs w:val="20"/>
        </w:rPr>
        <w:instrText xml:space="preserve"> ADDIN EN.REFLIST </w:instrText>
      </w:r>
      <w:r w:rsidRPr="00A840C2">
        <w:rPr>
          <w:sz w:val="20"/>
          <w:szCs w:val="20"/>
        </w:rPr>
        <w:fldChar w:fldCharType="separate"/>
      </w:r>
      <w:r w:rsidRPr="00A840C2">
        <w:rPr>
          <w:noProof/>
          <w:sz w:val="20"/>
          <w:szCs w:val="20"/>
        </w:rPr>
        <w:t>1.</w:t>
      </w:r>
      <w:r w:rsidRPr="00A840C2">
        <w:rPr>
          <w:noProof/>
          <w:sz w:val="20"/>
          <w:szCs w:val="20"/>
        </w:rPr>
        <w:tab/>
        <w:t xml:space="preserve">Sue DW. </w:t>
      </w:r>
      <w:r w:rsidRPr="00A840C2">
        <w:rPr>
          <w:i/>
          <w:noProof/>
          <w:sz w:val="20"/>
          <w:szCs w:val="20"/>
        </w:rPr>
        <w:t>Microaggressions in everyday life: Race, gender, and sexual orientation.</w:t>
      </w:r>
      <w:r w:rsidRPr="00A840C2">
        <w:rPr>
          <w:noProof/>
          <w:sz w:val="20"/>
          <w:szCs w:val="20"/>
        </w:rPr>
        <w:t xml:space="preserve"> John Wiley &amp; Sons; 2010.</w:t>
      </w:r>
    </w:p>
    <w:p w14:paraId="3E2FFC0A" w14:textId="77777777" w:rsidR="00287C33" w:rsidRPr="00A840C2" w:rsidRDefault="00287C33" w:rsidP="00287C33">
      <w:pPr>
        <w:pStyle w:val="EndNoteBibliography"/>
        <w:spacing w:after="0"/>
        <w:ind w:left="720" w:hanging="720"/>
        <w:rPr>
          <w:noProof/>
          <w:sz w:val="20"/>
          <w:szCs w:val="20"/>
        </w:rPr>
      </w:pPr>
      <w:r w:rsidRPr="00A840C2">
        <w:rPr>
          <w:noProof/>
          <w:sz w:val="20"/>
          <w:szCs w:val="20"/>
        </w:rPr>
        <w:t>2.</w:t>
      </w:r>
      <w:r w:rsidRPr="00A840C2">
        <w:rPr>
          <w:noProof/>
          <w:sz w:val="20"/>
          <w:szCs w:val="20"/>
        </w:rPr>
        <w:tab/>
        <w:t xml:space="preserve">Nadal KL. The Racial and Ethnic Microaggressions Scale (REMS): Construction, Reliability, and Validity. </w:t>
      </w:r>
      <w:r w:rsidRPr="00A840C2">
        <w:rPr>
          <w:i/>
          <w:noProof/>
          <w:sz w:val="20"/>
          <w:szCs w:val="20"/>
        </w:rPr>
        <w:t xml:space="preserve">Journal of Counseling Psychology. </w:t>
      </w:r>
      <w:r w:rsidRPr="00A840C2">
        <w:rPr>
          <w:noProof/>
          <w:sz w:val="20"/>
          <w:szCs w:val="20"/>
        </w:rPr>
        <w:t>2011;58(4):470-480.</w:t>
      </w:r>
    </w:p>
    <w:p w14:paraId="7962A087" w14:textId="77777777" w:rsidR="00287C33" w:rsidRPr="00A840C2" w:rsidRDefault="00287C33" w:rsidP="00287C33">
      <w:pPr>
        <w:pStyle w:val="EndNoteBibliography"/>
        <w:spacing w:after="0"/>
        <w:ind w:left="720" w:hanging="720"/>
        <w:rPr>
          <w:noProof/>
          <w:sz w:val="20"/>
          <w:szCs w:val="20"/>
        </w:rPr>
      </w:pPr>
      <w:r w:rsidRPr="00A840C2">
        <w:rPr>
          <w:noProof/>
          <w:sz w:val="20"/>
          <w:szCs w:val="20"/>
        </w:rPr>
        <w:t>3.</w:t>
      </w:r>
      <w:r w:rsidRPr="00A840C2">
        <w:rPr>
          <w:noProof/>
          <w:sz w:val="20"/>
          <w:szCs w:val="20"/>
        </w:rPr>
        <w:tab/>
        <w:t xml:space="preserve">Derald Wing Sue SA, Michael N. Awad, Elizabeth Glaeser, Cassandra Z. Calle and Narolyn Mendez. Disarming Racial Microaggressions: Microintervention Strategies for Targets, White Allies, and Bystanders. </w:t>
      </w:r>
      <w:r w:rsidRPr="00A840C2">
        <w:rPr>
          <w:i/>
          <w:noProof/>
          <w:sz w:val="20"/>
          <w:szCs w:val="20"/>
        </w:rPr>
        <w:t xml:space="preserve">American Psychologist. </w:t>
      </w:r>
      <w:r w:rsidRPr="00A840C2">
        <w:rPr>
          <w:noProof/>
          <w:sz w:val="20"/>
          <w:szCs w:val="20"/>
        </w:rPr>
        <w:t>2019;74(1):128-142.</w:t>
      </w:r>
    </w:p>
    <w:p w14:paraId="5FF69A30" w14:textId="77777777" w:rsidR="00287C33" w:rsidRPr="00A840C2" w:rsidRDefault="00287C33" w:rsidP="00287C33">
      <w:pPr>
        <w:pStyle w:val="EndNoteBibliography"/>
        <w:spacing w:after="0"/>
        <w:ind w:left="720" w:hanging="720"/>
        <w:rPr>
          <w:noProof/>
          <w:sz w:val="20"/>
          <w:szCs w:val="20"/>
        </w:rPr>
      </w:pPr>
      <w:r w:rsidRPr="00A840C2">
        <w:rPr>
          <w:noProof/>
          <w:sz w:val="20"/>
          <w:szCs w:val="20"/>
        </w:rPr>
        <w:t>4.</w:t>
      </w:r>
      <w:r w:rsidRPr="00A840C2">
        <w:rPr>
          <w:noProof/>
          <w:sz w:val="20"/>
          <w:szCs w:val="20"/>
        </w:rPr>
        <w:tab/>
        <w:t xml:space="preserve">Ackerman-Barger K, Valderma-Wallace C, Latimore D, Drake C. Stereotype Threat Susceptibility Among Minority Health Professions Students. </w:t>
      </w:r>
      <w:r w:rsidRPr="00A840C2">
        <w:rPr>
          <w:i/>
          <w:noProof/>
          <w:sz w:val="20"/>
          <w:szCs w:val="20"/>
        </w:rPr>
        <w:t xml:space="preserve">Journal of Best Practices in Health Professions Diversity. </w:t>
      </w:r>
      <w:r w:rsidRPr="00A840C2">
        <w:rPr>
          <w:noProof/>
          <w:sz w:val="20"/>
          <w:szCs w:val="20"/>
        </w:rPr>
        <w:t>2016;9(2):1232-1246.</w:t>
      </w:r>
    </w:p>
    <w:p w14:paraId="0E6B740B" w14:textId="77777777" w:rsidR="00287C33" w:rsidRPr="00A840C2" w:rsidRDefault="00287C33" w:rsidP="00287C33">
      <w:pPr>
        <w:pStyle w:val="EndNoteBibliography"/>
        <w:ind w:left="720" w:hanging="720"/>
        <w:rPr>
          <w:noProof/>
          <w:sz w:val="20"/>
          <w:szCs w:val="20"/>
        </w:rPr>
      </w:pPr>
      <w:r w:rsidRPr="00A840C2">
        <w:rPr>
          <w:noProof/>
          <w:sz w:val="20"/>
          <w:szCs w:val="20"/>
        </w:rPr>
        <w:t>5.</w:t>
      </w:r>
      <w:r w:rsidRPr="00A840C2">
        <w:rPr>
          <w:noProof/>
          <w:sz w:val="20"/>
          <w:szCs w:val="20"/>
        </w:rPr>
        <w:tab/>
        <w:t xml:space="preserve">Crenshaw K. Demarginalizing the Intersection of Race and Sex: A Black Feminist Critique of Antidiscrimination Doctrine, Feminist Theory and Antiracist Politics </w:t>
      </w:r>
      <w:r w:rsidRPr="00A840C2">
        <w:rPr>
          <w:i/>
          <w:noProof/>
          <w:sz w:val="20"/>
          <w:szCs w:val="20"/>
        </w:rPr>
        <w:t xml:space="preserve">University of Chicago Legal Forum </w:t>
      </w:r>
      <w:r w:rsidRPr="00A840C2">
        <w:rPr>
          <w:noProof/>
          <w:sz w:val="20"/>
          <w:szCs w:val="20"/>
        </w:rPr>
        <w:t>1989.</w:t>
      </w:r>
    </w:p>
    <w:p w14:paraId="3D835CD6" w14:textId="4EEE8C13" w:rsidR="00493DB1" w:rsidRPr="00A840C2" w:rsidRDefault="00287C33">
      <w:pPr>
        <w:rPr>
          <w:rFonts w:ascii="Calibri" w:hAnsi="Calibri" w:cs="Calibri"/>
          <w:sz w:val="20"/>
          <w:szCs w:val="20"/>
        </w:rPr>
      </w:pPr>
      <w:r w:rsidRPr="00A840C2">
        <w:rPr>
          <w:rFonts w:ascii="Calibri" w:hAnsi="Calibri" w:cs="Calibri"/>
          <w:sz w:val="20"/>
          <w:szCs w:val="20"/>
        </w:rPr>
        <w:fldChar w:fldCharType="end"/>
      </w:r>
    </w:p>
    <w:sectPr w:rsidR="00493DB1" w:rsidRPr="00A840C2" w:rsidSect="00B05C8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7E694A"/>
    <w:multiLevelType w:val="hybridMultilevel"/>
    <w:tmpl w:val="492EF6E4"/>
    <w:lvl w:ilvl="0" w:tplc="24DC853A">
      <w:start w:val="1"/>
      <w:numFmt w:val="decimal"/>
      <w:lvlText w:val="%1."/>
      <w:lvlJc w:val="left"/>
      <w:pPr>
        <w:ind w:left="720" w:hanging="360"/>
      </w:pPr>
      <w:rPr>
        <w:rFonts w:ascii="Arial" w:hAnsi="Arial" w:cs="Arial"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mirrorMargins/>
  <w:proofState w:spelling="clean" w:grammar="clean"/>
  <w:defaultTabStop w:val="720"/>
  <w:evenAndOddHeaders/>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JAMA&lt;/Style&gt;&lt;LeftDelim&gt;{&lt;/LeftDelim&gt;&lt;RightDelim&gt;}&lt;/RightDelim&gt;&lt;FontName&gt;Calibri&lt;/FontName&gt;&lt;FontSize&gt;11&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efx20f095edz2mev2dk5ssrxatx9ds2ptdt0&quot;&gt;My EndNote Library_Updated&lt;record-ids&gt;&lt;item&gt;41&lt;/item&gt;&lt;item&gt;574&lt;/item&gt;&lt;item&gt;575&lt;/item&gt;&lt;item&gt;884&lt;/item&gt;&lt;item&gt;1015&lt;/item&gt;&lt;/record-ids&gt;&lt;/item&gt;&lt;/Libraries&gt;"/>
  </w:docVars>
  <w:rsids>
    <w:rsidRoot w:val="00D227D1"/>
    <w:rsid w:val="00023CEA"/>
    <w:rsid w:val="00032D37"/>
    <w:rsid w:val="00041A65"/>
    <w:rsid w:val="0005767B"/>
    <w:rsid w:val="00063845"/>
    <w:rsid w:val="0006678D"/>
    <w:rsid w:val="00082549"/>
    <w:rsid w:val="000D4B65"/>
    <w:rsid w:val="000F2756"/>
    <w:rsid w:val="001038A7"/>
    <w:rsid w:val="0013360A"/>
    <w:rsid w:val="0015611C"/>
    <w:rsid w:val="001573F6"/>
    <w:rsid w:val="00181210"/>
    <w:rsid w:val="001F4AB7"/>
    <w:rsid w:val="00216F1D"/>
    <w:rsid w:val="0022419A"/>
    <w:rsid w:val="00234CE4"/>
    <w:rsid w:val="00255CD9"/>
    <w:rsid w:val="002644CF"/>
    <w:rsid w:val="002658CE"/>
    <w:rsid w:val="002766FE"/>
    <w:rsid w:val="00287C33"/>
    <w:rsid w:val="002B4B28"/>
    <w:rsid w:val="002E1B85"/>
    <w:rsid w:val="002E7B11"/>
    <w:rsid w:val="002F23D1"/>
    <w:rsid w:val="00301D44"/>
    <w:rsid w:val="003205E0"/>
    <w:rsid w:val="003407AF"/>
    <w:rsid w:val="003478A8"/>
    <w:rsid w:val="00357B2F"/>
    <w:rsid w:val="0036412A"/>
    <w:rsid w:val="003829B4"/>
    <w:rsid w:val="00386F26"/>
    <w:rsid w:val="00387375"/>
    <w:rsid w:val="003B3571"/>
    <w:rsid w:val="003D323F"/>
    <w:rsid w:val="003D645B"/>
    <w:rsid w:val="003E135B"/>
    <w:rsid w:val="003E36F1"/>
    <w:rsid w:val="0040521B"/>
    <w:rsid w:val="004128CB"/>
    <w:rsid w:val="004243FF"/>
    <w:rsid w:val="00450C5B"/>
    <w:rsid w:val="00475508"/>
    <w:rsid w:val="00496220"/>
    <w:rsid w:val="004A4123"/>
    <w:rsid w:val="004A659B"/>
    <w:rsid w:val="004B3052"/>
    <w:rsid w:val="004B735D"/>
    <w:rsid w:val="004B749C"/>
    <w:rsid w:val="00510BF8"/>
    <w:rsid w:val="005143E9"/>
    <w:rsid w:val="00533B22"/>
    <w:rsid w:val="00534EDD"/>
    <w:rsid w:val="00572C17"/>
    <w:rsid w:val="00575DB6"/>
    <w:rsid w:val="00580175"/>
    <w:rsid w:val="00580E22"/>
    <w:rsid w:val="005C3190"/>
    <w:rsid w:val="005D1F8D"/>
    <w:rsid w:val="005D517F"/>
    <w:rsid w:val="005D5FE6"/>
    <w:rsid w:val="005F4D0A"/>
    <w:rsid w:val="00602DE2"/>
    <w:rsid w:val="00613475"/>
    <w:rsid w:val="00623AA2"/>
    <w:rsid w:val="006471D2"/>
    <w:rsid w:val="00651D4E"/>
    <w:rsid w:val="00653C04"/>
    <w:rsid w:val="006766B1"/>
    <w:rsid w:val="006823DC"/>
    <w:rsid w:val="006A4002"/>
    <w:rsid w:val="006B23F2"/>
    <w:rsid w:val="006C2C4D"/>
    <w:rsid w:val="006D624B"/>
    <w:rsid w:val="006E053D"/>
    <w:rsid w:val="0070082C"/>
    <w:rsid w:val="0070128F"/>
    <w:rsid w:val="00704F12"/>
    <w:rsid w:val="00717292"/>
    <w:rsid w:val="0076694D"/>
    <w:rsid w:val="00771672"/>
    <w:rsid w:val="007943DC"/>
    <w:rsid w:val="007A4BBB"/>
    <w:rsid w:val="007A6A08"/>
    <w:rsid w:val="007C2F32"/>
    <w:rsid w:val="007C372B"/>
    <w:rsid w:val="007D373B"/>
    <w:rsid w:val="007F7539"/>
    <w:rsid w:val="0080295E"/>
    <w:rsid w:val="008037E1"/>
    <w:rsid w:val="008136E2"/>
    <w:rsid w:val="0083114A"/>
    <w:rsid w:val="00837129"/>
    <w:rsid w:val="008512ED"/>
    <w:rsid w:val="00853939"/>
    <w:rsid w:val="00853F35"/>
    <w:rsid w:val="00872D9F"/>
    <w:rsid w:val="008754A3"/>
    <w:rsid w:val="008B248D"/>
    <w:rsid w:val="008C3CA6"/>
    <w:rsid w:val="008C5B1B"/>
    <w:rsid w:val="008D4AB3"/>
    <w:rsid w:val="008E40DB"/>
    <w:rsid w:val="008E5313"/>
    <w:rsid w:val="008F6D63"/>
    <w:rsid w:val="0090386D"/>
    <w:rsid w:val="0090400E"/>
    <w:rsid w:val="009175CC"/>
    <w:rsid w:val="00922FEF"/>
    <w:rsid w:val="00951A42"/>
    <w:rsid w:val="00951F75"/>
    <w:rsid w:val="00990CF8"/>
    <w:rsid w:val="009B062D"/>
    <w:rsid w:val="009B4518"/>
    <w:rsid w:val="009D7494"/>
    <w:rsid w:val="00A15156"/>
    <w:rsid w:val="00A161E9"/>
    <w:rsid w:val="00A71E4C"/>
    <w:rsid w:val="00A840C2"/>
    <w:rsid w:val="00A94A4D"/>
    <w:rsid w:val="00AA379D"/>
    <w:rsid w:val="00AA5C19"/>
    <w:rsid w:val="00AE34B3"/>
    <w:rsid w:val="00AE4F8C"/>
    <w:rsid w:val="00AF1425"/>
    <w:rsid w:val="00B0391E"/>
    <w:rsid w:val="00B05C87"/>
    <w:rsid w:val="00B2095F"/>
    <w:rsid w:val="00B340E9"/>
    <w:rsid w:val="00B5211D"/>
    <w:rsid w:val="00B57CD2"/>
    <w:rsid w:val="00B6045E"/>
    <w:rsid w:val="00B62110"/>
    <w:rsid w:val="00B63906"/>
    <w:rsid w:val="00B7215E"/>
    <w:rsid w:val="00B82BA9"/>
    <w:rsid w:val="00B93D1C"/>
    <w:rsid w:val="00B94C5E"/>
    <w:rsid w:val="00B97D96"/>
    <w:rsid w:val="00BA14FA"/>
    <w:rsid w:val="00BD0B14"/>
    <w:rsid w:val="00BD2D1D"/>
    <w:rsid w:val="00BE566F"/>
    <w:rsid w:val="00C16CDA"/>
    <w:rsid w:val="00C63C02"/>
    <w:rsid w:val="00C90FDE"/>
    <w:rsid w:val="00CA1253"/>
    <w:rsid w:val="00CA61AE"/>
    <w:rsid w:val="00CB3449"/>
    <w:rsid w:val="00CB3C7A"/>
    <w:rsid w:val="00CB4CD4"/>
    <w:rsid w:val="00CC48AA"/>
    <w:rsid w:val="00CC79AB"/>
    <w:rsid w:val="00CC7BA4"/>
    <w:rsid w:val="00CD2235"/>
    <w:rsid w:val="00CF25B1"/>
    <w:rsid w:val="00D01496"/>
    <w:rsid w:val="00D070C0"/>
    <w:rsid w:val="00D13543"/>
    <w:rsid w:val="00D227D1"/>
    <w:rsid w:val="00D24B0D"/>
    <w:rsid w:val="00D26CA6"/>
    <w:rsid w:val="00D3393F"/>
    <w:rsid w:val="00D51862"/>
    <w:rsid w:val="00D643D5"/>
    <w:rsid w:val="00D6778F"/>
    <w:rsid w:val="00D7038E"/>
    <w:rsid w:val="00D82D27"/>
    <w:rsid w:val="00DB7CE6"/>
    <w:rsid w:val="00DC2FF9"/>
    <w:rsid w:val="00E21A96"/>
    <w:rsid w:val="00E2458E"/>
    <w:rsid w:val="00E41A58"/>
    <w:rsid w:val="00E57CC9"/>
    <w:rsid w:val="00E71BA8"/>
    <w:rsid w:val="00E8643E"/>
    <w:rsid w:val="00EA596F"/>
    <w:rsid w:val="00ED24E1"/>
    <w:rsid w:val="00EE5F0C"/>
    <w:rsid w:val="00EF25D6"/>
    <w:rsid w:val="00EF6267"/>
    <w:rsid w:val="00F04B7B"/>
    <w:rsid w:val="00F2312B"/>
    <w:rsid w:val="00F24D2F"/>
    <w:rsid w:val="00F427AF"/>
    <w:rsid w:val="00F626B4"/>
    <w:rsid w:val="00F65492"/>
    <w:rsid w:val="00F65A66"/>
    <w:rsid w:val="00F757D8"/>
    <w:rsid w:val="00FB21A9"/>
    <w:rsid w:val="00FD51D2"/>
    <w:rsid w:val="00FE16D6"/>
    <w:rsid w:val="00FE706C"/>
    <w:rsid w:val="00FF302B"/>
    <w:rsid w:val="40FBD1F5"/>
    <w:rsid w:val="52E3F0C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BF5F53"/>
  <w15:chartTrackingRefBased/>
  <w15:docId w15:val="{392D9324-A707-5340-B5AC-8901864BCB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D227D1"/>
    <w:pPr>
      <w:spacing w:after="160" w:line="259" w:lineRule="auto"/>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link w:val="ListParagraphChar"/>
    <w:uiPriority w:val="34"/>
    <w:qFormat/>
    <w:rsid w:val="00D227D1"/>
    <w:pPr>
      <w:spacing w:after="200" w:line="276" w:lineRule="auto"/>
      <w:ind w:left="720"/>
      <w:contextualSpacing/>
    </w:pPr>
  </w:style>
  <w:style w:type="character" w:customStyle="1" w:styleId="ListParagraphChar">
    <w:name w:val="List Paragraph Char"/>
    <w:basedOn w:val="DefaultParagraphFont"/>
    <w:link w:val="ListParagraph"/>
    <w:uiPriority w:val="34"/>
    <w:rsid w:val="00D227D1"/>
    <w:rPr>
      <w:sz w:val="22"/>
      <w:szCs w:val="22"/>
    </w:rPr>
  </w:style>
  <w:style w:type="paragraph" w:customStyle="1" w:styleId="EndNoteBibliographyTitle">
    <w:name w:val="EndNote Bibliography Title"/>
    <w:basedOn w:val="Normal"/>
    <w:link w:val="EndNoteBibliographyTitleChar"/>
    <w:rsid w:val="00287C33"/>
    <w:pPr>
      <w:spacing w:after="0"/>
      <w:jc w:val="center"/>
    </w:pPr>
    <w:rPr>
      <w:rFonts w:ascii="Calibri" w:hAnsi="Calibri" w:cs="Calibri"/>
    </w:rPr>
  </w:style>
  <w:style w:type="character" w:customStyle="1" w:styleId="EndNoteBibliographyTitleChar">
    <w:name w:val="EndNote Bibliography Title Char"/>
    <w:basedOn w:val="ListParagraphChar"/>
    <w:link w:val="EndNoteBibliographyTitle"/>
    <w:rsid w:val="00287C33"/>
    <w:rPr>
      <w:rFonts w:ascii="Calibri" w:hAnsi="Calibri" w:cs="Calibri"/>
      <w:sz w:val="22"/>
      <w:szCs w:val="22"/>
    </w:rPr>
  </w:style>
  <w:style w:type="paragraph" w:customStyle="1" w:styleId="EndNoteBibliography">
    <w:name w:val="EndNote Bibliography"/>
    <w:basedOn w:val="Normal"/>
    <w:link w:val="EndNoteBibliographyChar"/>
    <w:rsid w:val="00287C33"/>
    <w:pPr>
      <w:spacing w:line="240" w:lineRule="auto"/>
    </w:pPr>
    <w:rPr>
      <w:rFonts w:ascii="Calibri" w:hAnsi="Calibri" w:cs="Calibri"/>
    </w:rPr>
  </w:style>
  <w:style w:type="character" w:customStyle="1" w:styleId="EndNoteBibliographyChar">
    <w:name w:val="EndNote Bibliography Char"/>
    <w:basedOn w:val="ListParagraphChar"/>
    <w:link w:val="EndNoteBibliography"/>
    <w:rsid w:val="00287C33"/>
    <w:rPr>
      <w:rFonts w:ascii="Calibri" w:hAnsi="Calibri" w:cs="Calibri"/>
      <w:sz w:val="22"/>
      <w:szCs w:val="22"/>
    </w:rPr>
  </w:style>
  <w:style w:type="paragraph" w:styleId="BalloonText">
    <w:name w:val="Balloon Text"/>
    <w:basedOn w:val="Normal"/>
    <w:link w:val="BalloonTextChar"/>
    <w:uiPriority w:val="99"/>
    <w:semiHidden/>
    <w:unhideWhenUsed/>
    <w:rsid w:val="007F7539"/>
    <w:pPr>
      <w:spacing w:after="0" w:line="240" w:lineRule="auto"/>
    </w:pPr>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7F7539"/>
    <w:rPr>
      <w:rFonts w:ascii="Times New Roman"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Pages>
  <Words>1077</Words>
  <Characters>6142</Characters>
  <Application>Microsoft Office Word</Application>
  <DocSecurity>0</DocSecurity>
  <Lines>51</Lines>
  <Paragraphs>14</Paragraphs>
  <ScaleCrop>false</ScaleCrop>
  <Company/>
  <LinksUpToDate>false</LinksUpToDate>
  <CharactersWithSpaces>7205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Maya London</dc:creator>
  <cp:keywords/>
  <dc:description/>
  <cp:lastModifiedBy>Matthew Matarozza</cp:lastModifiedBy>
  <cp:revision>10</cp:revision>
  <dcterms:created xsi:type="dcterms:W3CDTF">2020-06-09T19:08:00Z</dcterms:created>
  <dcterms:modified xsi:type="dcterms:W3CDTF">2020-12-11T18:32:00Z</dcterms:modified>
</cp:coreProperties>
</file>